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2 - Staff Transfer</w:t>
      </w:r>
    </w:p>
    <w:p w:rsidR="00000000" w:rsidDel="00000000" w:rsidP="00000000" w:rsidRDefault="00000000" w:rsidRPr="00000000" w14:paraId="00000002">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rFonts w:ascii="Calibri" w:cs="Calibri" w:eastAsia="Calibri" w:hAnsi="Calibri"/>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0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Contracting Authority, Former Supplier, Replacement Supplier or Replacement Sub-contractor, as the case may be and where the Sub-contractor fails to satisfy any claims under such indemnities the Supplier will be liable for satisfying any such claim as if it had provided the indemnity itself. </w:t>
      </w:r>
    </w:p>
    <w:p w:rsidR="00000000" w:rsidDel="00000000" w:rsidP="00000000" w:rsidRDefault="00000000" w:rsidRPr="00000000" w14:paraId="00000006">
      <w:pPr>
        <w:ind w:left="3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Contracting Authority cannot employ someone as a Temporary Healthcare Worker if they have a direct employment relationship with the MOD, i.e. they are an existing civil servant or member of the regular military. In the case of reservists they are only deemed to have a direct relationship with the MOD when they are serving on an active engagement (e.g. they have been activated for Service or are filling an Full Time Reserve Service or similar position), where they would be classed as an employee. If someone is a reservist but not serving on an active engagement (e.g. they attend drill nights and compulsory training camps to meet their reserve commitment) they are not deemed to have a direct relationship with the MOD and as such can be employed as a Temporary Healthcare Worker. If their reserve contract with the MOD changes whilst they are employed as a Temporary Healthcare Worker, forming a direct employment relationship, then their employment as a Temporary Healthcare Worker must cease with immediate effect (e.g. if they are activated for reserve service).</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0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 </w:t>
      </w:r>
    </w:p>
    <w:p w:rsidR="00000000" w:rsidDel="00000000" w:rsidP="00000000" w:rsidRDefault="00000000" w:rsidRPr="00000000" w14:paraId="00000009">
      <w:pPr>
        <w:spacing w:after="0" w:lineRule="auto"/>
        <w:ind w:left="1080" w:firstLine="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2.1 Part A (Staff Transfer at Start Date – Outsourcing from the Contracting Authority) </w:t>
      </w:r>
    </w:p>
    <w:p w:rsidR="00000000" w:rsidDel="00000000" w:rsidP="00000000" w:rsidRDefault="00000000" w:rsidRPr="00000000" w14:paraId="0000000A">
      <w:pPr>
        <w:spacing w:after="0" w:lineRule="auto"/>
        <w:ind w:left="1080" w:firstLine="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2.2 Part B (Staff Transfer at Start Date – Transfer from Former Supplier)</w:t>
      </w:r>
    </w:p>
    <w:p w:rsidR="00000000" w:rsidDel="00000000" w:rsidP="00000000" w:rsidRDefault="00000000" w:rsidRPr="00000000" w14:paraId="0000000B">
      <w:pPr>
        <w:spacing w:after="0" w:lineRule="auto"/>
        <w:ind w:left="1080" w:firstLine="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2.3 Part C (No Staff Transfer on Start Date)</w:t>
      </w:r>
    </w:p>
    <w:p w:rsidR="00000000" w:rsidDel="00000000" w:rsidP="00000000" w:rsidRDefault="00000000" w:rsidRPr="00000000" w14:paraId="0000000C">
      <w:pPr>
        <w:tabs>
          <w:tab w:val="left" w:leader="none" w:pos="1418"/>
        </w:tabs>
        <w:spacing w:after="0" w:lineRule="auto"/>
        <w:ind w:left="360" w:firstLine="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2.4 Part D (Pensions) </w:t>
        <w:tab/>
        <w:tab/>
        <w:tab/>
        <w:tab/>
        <w:tab/>
      </w:r>
    </w:p>
    <w:p w:rsidR="00000000" w:rsidDel="00000000" w:rsidP="00000000" w:rsidRDefault="00000000" w:rsidRPr="00000000" w14:paraId="0000000D">
      <w:pPr>
        <w:tabs>
          <w:tab w:val="left" w:leader="none" w:pos="2552"/>
        </w:tabs>
        <w:spacing w:after="0" w:lineRule="auto"/>
        <w:ind w:left="2520" w:firstLine="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2.4.1 Annex D1 (CSPS) </w:t>
        <w:tab/>
        <w:tab/>
      </w:r>
    </w:p>
    <w:p w:rsidR="00000000" w:rsidDel="00000000" w:rsidP="00000000" w:rsidRDefault="00000000" w:rsidRPr="00000000" w14:paraId="0000000E">
      <w:pPr>
        <w:spacing w:after="0" w:lineRule="auto"/>
        <w:ind w:left="2552" w:firstLine="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2.4.2 Annex D2 (NHSPS) </w:t>
        <w:tab/>
        <w:tab/>
        <w:tab/>
      </w:r>
    </w:p>
    <w:p w:rsidR="00000000" w:rsidDel="00000000" w:rsidP="00000000" w:rsidRDefault="00000000" w:rsidRPr="00000000" w14:paraId="0000000F">
      <w:pPr>
        <w:spacing w:after="0" w:lineRule="auto"/>
        <w:ind w:left="2552" w:firstLine="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2.4.3 Annex D3 (LGPS)</w:t>
        <w:tab/>
        <w:tab/>
        <w:tab/>
      </w:r>
    </w:p>
    <w:p w:rsidR="00000000" w:rsidDel="00000000" w:rsidP="00000000" w:rsidRDefault="00000000" w:rsidRPr="00000000" w14:paraId="00000010">
      <w:pPr>
        <w:spacing w:after="0" w:lineRule="auto"/>
        <w:ind w:left="1080" w:firstLine="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2.4 Part E (Staff Transfer on Exit)</w:t>
      </w:r>
    </w:p>
    <w:p w:rsidR="00000000" w:rsidDel="00000000" w:rsidP="00000000" w:rsidRDefault="00000000" w:rsidRPr="00000000" w14:paraId="0000001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2.1 Part A: Staff Transfer at the Start Date </w:t>
      </w:r>
      <w:r w:rsidDel="00000000" w:rsidR="00000000" w:rsidRPr="00000000">
        <w:rPr>
          <w:rtl w:val="0"/>
        </w:rPr>
      </w:r>
    </w:p>
    <w:p w:rsidR="00000000" w:rsidDel="00000000" w:rsidP="00000000" w:rsidRDefault="00000000" w:rsidRPr="00000000" w14:paraId="00000013">
      <w:pPr>
        <w:pStyle w:val="Heading1"/>
        <w:ind w:left="0" w:firstLine="0"/>
        <w:rPr>
          <w:rFonts w:ascii="Arial" w:cs="Arial" w:eastAsia="Arial" w:hAnsi="Arial"/>
          <w:smallCaps w:val="1"/>
          <w:sz w:val="24"/>
          <w:szCs w:val="24"/>
        </w:rPr>
      </w:pPr>
      <w:r w:rsidDel="00000000" w:rsidR="00000000" w:rsidRPr="00000000">
        <w:rPr>
          <w:rFonts w:ascii="Arial" w:cs="Arial" w:eastAsia="Arial" w:hAnsi="Arial"/>
          <w:rtl w:val="0"/>
        </w:rPr>
        <w:t xml:space="preserve">Outsourcing from the Contracting Authority </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1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and the Supplier agree that:</w:t>
      </w:r>
    </w:p>
    <w:p w:rsidR="00000000" w:rsidDel="00000000" w:rsidP="00000000" w:rsidRDefault="00000000" w:rsidRPr="00000000" w14:paraId="0000001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Contracting Authority Employees; and</w:t>
      </w:r>
    </w:p>
    <w:p w:rsidR="00000000" w:rsidDel="00000000" w:rsidP="00000000" w:rsidRDefault="00000000" w:rsidRPr="00000000" w14:paraId="0000001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Contracting Authority and the Transferring Contracting Authority Employees (except in relation to any terms disapplied through operation of regulation 10(2) of the Employment Regulations) will have effect on and from the Relevant Transfer Date as if originally made between the Supplier and/or any Sub-Contractor and each such Transferring Contracting Authority Employee.</w:t>
      </w:r>
    </w:p>
    <w:p w:rsidR="00000000" w:rsidDel="00000000" w:rsidP="00000000" w:rsidRDefault="00000000" w:rsidRPr="00000000" w14:paraId="0000001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shall comply with all its obligations under the Employment Regulations and shall perform and discharge all its obligations in respect of the Transferring Contracting Authority Employees in respect of the period arising up to (but not including) the Relevant Transfer Date including (without limit) the payment of all remuneration, benefits, entitlements, PAYE, national insurance contributions and pension contributions.</w:t>
      </w:r>
      <w:r w:rsidDel="00000000" w:rsidR="00000000" w:rsidRPr="00000000">
        <w:rPr>
          <w:rtl w:val="0"/>
        </w:rPr>
      </w:r>
    </w:p>
    <w:p w:rsidR="00000000" w:rsidDel="00000000" w:rsidP="00000000" w:rsidRDefault="00000000" w:rsidRPr="00000000" w14:paraId="0000001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Contracting Authority must give </w:t>
      </w:r>
    </w:p>
    <w:p w:rsidR="00000000" w:rsidDel="00000000" w:rsidP="00000000" w:rsidRDefault="00000000" w:rsidRPr="00000000" w14:paraId="000000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Contracting Authority shall indemnify the Supplier and any Sub-contractor against any Employee Liabilities arising from or as a result of any act or omission by the indemnifying party in respect of any Transferring Contracting Authority Employee or any appropriate employee representative (as defined in the Employment Regulations) of any Transferring Contracting Authority Employee occurring before the Relevant Transfer Date. </w:t>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1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2.4 and 2.5,  if any employee of the Contracting Authority who is not identified as a Transferring Contracting Authority Employee claims, or it is determined in relation to any employees of the Contracting Authority, that his/her contract of employment has been transferred from the Contracting Authority to the Supplier and/or any Sub-contractor pursuant to the Employment Regulations then -</w:t>
      </w:r>
    </w:p>
    <w:p w:rsidR="00000000" w:rsidDel="00000000" w:rsidP="00000000" w:rsidRDefault="00000000" w:rsidRPr="00000000" w14:paraId="0000001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within five (5) Working Days of becoming aware of that fact, notify the Contracting Authority in writing;</w:t>
      </w:r>
    </w:p>
    <w:p w:rsidR="00000000" w:rsidDel="00000000" w:rsidP="00000000" w:rsidRDefault="00000000" w:rsidRPr="00000000" w14:paraId="0000001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may offer employment to such person, or take such other steps as it considers appropriate to resolve the matter, within fifteen (15) Working Days of receipt of notice from the Supplier;</w:t>
      </w:r>
    </w:p>
    <w:p w:rsidR="00000000" w:rsidDel="00000000" w:rsidP="00000000" w:rsidRDefault="00000000" w:rsidRPr="00000000" w14:paraId="0000001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2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2.3.2 no such offer has been made, or such offer has been made but not accepted, the Supplier may within five (5) Working Days give notice to terminate the employment of such person;</w:t>
      </w:r>
    </w:p>
    <w:p w:rsidR="00000000" w:rsidDel="00000000" w:rsidP="00000000" w:rsidRDefault="00000000" w:rsidRPr="00000000" w14:paraId="00000021">
      <w:pPr>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2.3.1 to 2.3.4 the Contracting Authority will indemnify the Supplier and/or the relevant Sub-contractor against all Employee Liabilities arising out of the termination of the employment of any of the Contracting Authority's employees referred to in this Paragraph 2.3. </w:t>
      </w:r>
    </w:p>
    <w:p w:rsidR="00000000" w:rsidDel="00000000" w:rsidP="00000000" w:rsidRDefault="00000000" w:rsidRPr="00000000" w14:paraId="0000002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claim:</w:t>
      </w:r>
    </w:p>
    <w:p w:rsidR="00000000" w:rsidDel="00000000" w:rsidP="00000000" w:rsidRDefault="00000000" w:rsidRPr="00000000" w14:paraId="0000002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2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2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2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00000" w:rsidDel="00000000" w:rsidP="00000000" w:rsidRDefault="00000000" w:rsidRPr="00000000" w14:paraId="0000002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Contracting Authority against any Employee Liabilities arising from or as a result of any act or omission by the Supplier or any Sub-contractor in respect of any Transferring Contracting Authority Employee or any appropriate employee representative (as defined in the Employment Regulations) of any Transferring Contracting Authority Employee whether occurring before, on or after the Relevant Transfer Date.</w:t>
      </w:r>
    </w:p>
    <w:p w:rsidR="00000000" w:rsidDel="00000000" w:rsidP="00000000" w:rsidRDefault="00000000" w:rsidRPr="00000000" w14:paraId="0000002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Contracting Authority whether occurring or having its origin before, on or after the Relevant Transfer Date including, without limitation, any Employee Liabilities arising from the Contracting Authority's failure to comply with its obligations under the Employment Regulations.</w:t>
      </w:r>
    </w:p>
    <w:p w:rsidR="00000000" w:rsidDel="00000000" w:rsidP="00000000" w:rsidRDefault="00000000" w:rsidRPr="00000000" w14:paraId="000000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its obligations under the Employment Regulations and shall perform and discharge all its obligations in respect of the Transferring Contracting Authority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2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provide to the Contracting Authority in writing such information as is necessary to enable the Contracting Authority to carry out its duties under regulation 13 of the Employment Regulations. The Contracting Authority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2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any requirement notified to it by the Contracting Authority relating to pensions in respect of any Transferring Contracting Authority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3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3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w:t>
      </w:r>
    </w:p>
    <w:p w:rsidR="00000000" w:rsidDel="00000000" w:rsidP="00000000" w:rsidRDefault="00000000" w:rsidRPr="00000000" w14:paraId="000000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pension obligations in respect of all Transferring Contracting Authority Employees; and</w:t>
      </w:r>
    </w:p>
    <w:p w:rsidR="00000000" w:rsidDel="00000000" w:rsidP="00000000" w:rsidRDefault="00000000" w:rsidRPr="00000000" w14:paraId="0000003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in Part D: Pensions.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jxsxqh" w:id="17"/>
      <w:bookmarkEnd w:id="17"/>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2.2 Part B: Staff transfer at the Start Date </w:t>
      </w:r>
      <w:r w:rsidDel="00000000" w:rsidR="00000000" w:rsidRPr="00000000">
        <w:rPr>
          <w:rtl w:val="0"/>
        </w:rPr>
      </w:r>
    </w:p>
    <w:p w:rsidR="00000000" w:rsidDel="00000000" w:rsidP="00000000" w:rsidRDefault="00000000" w:rsidRPr="00000000" w14:paraId="00000036">
      <w:pPr>
        <w:pStyle w:val="Heading1"/>
        <w:ind w:left="0" w:firstLine="0"/>
        <w:rPr>
          <w:rFonts w:ascii="Arial" w:cs="Arial" w:eastAsia="Arial" w:hAnsi="Arial"/>
          <w:smallCaps w:val="1"/>
        </w:rPr>
      </w:pPr>
      <w:r w:rsidDel="00000000" w:rsidR="00000000" w:rsidRPr="00000000">
        <w:rPr>
          <w:rFonts w:ascii="Arial" w:cs="Arial" w:eastAsia="Arial" w:hAnsi="Arial"/>
          <w:rtl w:val="0"/>
        </w:rPr>
        <w:t xml:space="preserve">Transfer from a former Supplier on Re-procurement</w:t>
      </w:r>
      <w:r w:rsidDel="00000000" w:rsidR="00000000" w:rsidRPr="00000000">
        <w:rPr>
          <w:rtl w:val="0"/>
        </w:rPr>
      </w:r>
    </w:p>
    <w:p w:rsidR="00000000" w:rsidDel="00000000" w:rsidP="00000000" w:rsidRDefault="00000000" w:rsidRPr="00000000" w14:paraId="0000003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3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and the Supplier agree that:</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3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rsidR="00000000" w:rsidDel="00000000" w:rsidP="00000000" w:rsidRDefault="00000000" w:rsidRPr="00000000" w14:paraId="0000003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Contracting Authority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3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 </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within five (5) Working Days of becoming aware of that fact notify the Contracting Authority and the relevant Former Supplier in writing;</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employment to such person, or take such other steps as it considers appropriate to resolve the matter, within fifteen (15) Working Days of receipt of notice from the Supplier;</w:t>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2.3.2 no such offer has been made, or such offer has been made but not accepted, the Supplier may within five (5) Working Days give notice to terminate the employment of such person;</w:t>
      </w:r>
    </w:p>
    <w:p w:rsidR="00000000" w:rsidDel="00000000" w:rsidP="00000000" w:rsidRDefault="00000000" w:rsidRPr="00000000" w14:paraId="00000044">
      <w:pPr>
        <w:pStyle w:val="Heading4"/>
        <w:ind w:left="99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2.3.1 to 2.3.4 the Contracting Authority shall procure that the Former Supplier will indemnify the Supplier and/or the relevant Sub-contractor against all Employee Liabilities arising out of the termination of the employment of any of the Former Supplier's employees referred to in Paragraph 2.3. </w:t>
      </w:r>
    </w:p>
    <w:p w:rsidR="00000000" w:rsidDel="00000000" w:rsidP="00000000" w:rsidRDefault="00000000" w:rsidRPr="00000000" w14:paraId="0000004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claim:</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4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4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00000" w:rsidDel="00000000" w:rsidP="00000000" w:rsidRDefault="00000000" w:rsidRPr="00000000" w14:paraId="0000004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3.1, the Supplier shall indemnify the Contracting Authority, and  the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4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provide to the Contracting Authority and/or at the Contracting Authority’s direction, the Former Supplier, in writing such information as is necessary to enable the Contracting Authority and/or the Former Supplier to carry out their respective duties under regulation 13 of the Employment Regulations. The Contracting Authority shall procure that the Former Supplier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5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any requirement notified to it by the Contracting Authority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5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5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any other provisions of this Part B, where in this Part B the Contracting Authority accepts an obligation to procure that a Former Supplier does or does not do something, such obligation shall be limited so that it extends only to the extent that the Contracting Authority’s contract with the Former Supplier contains a contractual right in that regard which the Contracting Authority may enforce, or otherwise so that it requires only that the Contracting Authority’s must use reasonable endeavours to procure that the Former Supplier does or does not act accordingly.</w:t>
      </w:r>
    </w:p>
    <w:p w:rsidR="00000000" w:rsidDel="00000000" w:rsidP="00000000" w:rsidRDefault="00000000" w:rsidRPr="00000000" w14:paraId="0000005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5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pension obligations in respect of all Transferring Former Supplier Employees; and</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in Part D: Pensions.</w:t>
      </w:r>
    </w:p>
    <w:p w:rsidR="00000000" w:rsidDel="00000000" w:rsidP="00000000" w:rsidRDefault="00000000" w:rsidRPr="00000000" w14:paraId="0000005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9x2ik5" w:id="29"/>
      <w:bookmarkEnd w:id="29"/>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2.3 Part C: No Staff Transfer on the Start Date</w:t>
      </w:r>
      <w:r w:rsidDel="00000000" w:rsidR="00000000" w:rsidRPr="00000000">
        <w:rPr>
          <w:rtl w:val="0"/>
        </w:rPr>
      </w:r>
    </w:p>
    <w:p w:rsidR="00000000" w:rsidDel="00000000" w:rsidP="00000000" w:rsidRDefault="00000000" w:rsidRPr="00000000" w14:paraId="0000005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and the Supplier agree that the commencement of the provision of the Services or of any part of the Services will not be a Relevant Transfer in relation to any employees of the Contracting Authority and/or any Former Supplier.  </w:t>
      </w:r>
    </w:p>
    <w:p w:rsidR="00000000" w:rsidDel="00000000" w:rsidP="00000000" w:rsidRDefault="00000000" w:rsidRPr="00000000" w14:paraId="0000005E">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1.3, 1.4 and 1.5, if any employee of the Contracting Authority and/or a Former Supplier claims, or it is determined in relation to any employee of the Contracting Authority and/or a Former Supplier, that his/her contract of employment has been transferred from the Contracting Authority and/or the Former Supplier to the Supplier and/or any Sub-contractor pursuant to the Employment Regulations then:</w:t>
      </w:r>
    </w:p>
    <w:p w:rsidR="00000000" w:rsidDel="00000000" w:rsidP="00000000" w:rsidRDefault="00000000" w:rsidRPr="00000000" w14:paraId="0000005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within five (5) Working Days of becoming aware of that fact, notify the Contracting Authority in writing;</w:t>
      </w:r>
    </w:p>
    <w:p w:rsidR="00000000" w:rsidDel="00000000" w:rsidP="00000000" w:rsidRDefault="00000000" w:rsidRPr="00000000" w14:paraId="0000006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may offer employment to such person, or take such other steps as it considered appropriate to resolve the matter, within fifteen (15) Working Days of receipt of notice from the Supplier;</w:t>
      </w:r>
    </w:p>
    <w:p w:rsidR="00000000" w:rsidDel="00000000" w:rsidP="00000000" w:rsidRDefault="00000000" w:rsidRPr="00000000" w14:paraId="0000006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6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1.2.2 no such offer has been made, or such offer has been made but not accepted, the Supplier may within five (5 ) Working Days give notice to terminate the employment of such person;</w:t>
      </w:r>
    </w:p>
    <w:p w:rsidR="00000000" w:rsidDel="00000000" w:rsidP="00000000" w:rsidRDefault="00000000" w:rsidRPr="00000000" w14:paraId="00000063">
      <w:pPr>
        <w:keepNext w:val="1"/>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1.2.1 to 1.2.4:</w:t>
      </w:r>
    </w:p>
    <w:p w:rsidR="00000000" w:rsidDel="00000000" w:rsidP="00000000" w:rsidRDefault="00000000" w:rsidRPr="00000000" w14:paraId="00000064">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will indemnify the Supplier and/or the relevant Sub-contractor against all Employee Liabilities arising out of the termination of the employment of any of the Contracting Authority's employees referred to in Paragraph 1.2; and </w:t>
      </w:r>
    </w:p>
    <w:p w:rsidR="00000000" w:rsidDel="00000000" w:rsidP="00000000" w:rsidRDefault="00000000" w:rsidRPr="00000000" w14:paraId="00000065">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will procure that the Former Supplier indemnifies the Supplier and/or any Sub-contractor against all Employee Liabilities arising out of termination of the employment of the employees of the Former Supplier referred to in Paragraph 1.2.</w:t>
      </w:r>
    </w:p>
    <w:p w:rsidR="00000000" w:rsidDel="00000000" w:rsidP="00000000" w:rsidRDefault="00000000" w:rsidRPr="00000000" w14:paraId="0000006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claim:</w:t>
      </w:r>
    </w:p>
    <w:p w:rsidR="00000000" w:rsidDel="00000000" w:rsidP="00000000" w:rsidRDefault="00000000" w:rsidRPr="00000000" w14:paraId="0000006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944" w:right="0" w:hanging="80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6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944" w:right="0" w:hanging="80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6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6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Contracting Authority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44" w:right="0" w:hanging="744"/>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p>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851" w:right="0" w:hanging="42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in this Part C the Contracting Authority accepts an obligation to procure that a Former Supplier does or does not do something, such obligation shall be limited so that it extends only to the extent that the Contracting Authority's contract with the Former Supplier contains a contractual right in that regard which the Contracting Authority may enforce, or otherwise so that it requires only that the Contracting Authority must use reasonable endeavours to procure that the Former Supplier does or does not act accordingly.</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2.4 Part D: Pensions</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tab/>
        <w:t xml:space="preserve">Supplier obligations to participate in the pension schemes</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In respect of all or any Fair Deal Employees each of Annex D1: CSPS, Annex D2: NHSPS and/or Annex D3: LGPS shall apply, as appropriate.</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Supplier undertakes: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1.3.1</w:t>
        <w:tab/>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1.3.2</w:t>
        <w:tab/>
        <w:t xml:space="preserve">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Supplier obligation to provide information</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w:t>
        <w:tab/>
        <w:t xml:space="preserve">The Supplier undertakes to the Contracting Authority:</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2.1.1</w:t>
        <w:tab/>
        <w:t xml:space="preserve">to provide all information which the Contracting Authority may reasonably request concerning matters referred to in this Part D as expeditiously as possible; and</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2.1.2</w:t>
        <w:tab/>
        <w:t xml:space="preserve">not to issue any announcements to any Fair Deal Employee prior to the Relevant Transfer Date concerning the matters stated in this Part D without the consent in writing of the Contracting Authority (such consent not to be unreasonably withheld or delayed).</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tab/>
        <w:t xml:space="preserve">Indemnities the Supplier must give</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w:t>
        <w:tab/>
        <w:t xml:space="preserve">The Supplier undertakes to the Contracting Authority  to indemnify and keep indemnified CCS, NHS Pensions the Contracting Authority 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The Supplier hereby indemnifies the CCS, NHS Pensions, the Contracting Authority 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w:t>
        <w:tab/>
        <w:t xml:space="preserve">The indemnities in this Part D and its Annexes:</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3.3.1</w:t>
        <w:tab/>
        <w:t xml:space="preserve">shall survive termination of this Contract; and</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3.3.2</w:t>
        <w:tab/>
        <w:t xml:space="preserve">shall not be affected by the caps on liability contained in Clause 9 (How much you can be held responsible for).</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tab/>
        <w:t xml:space="preserve">What happens if there is a dispute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w:t>
        <w:tab/>
        <w:t xml:space="preserve">The Dispute Resolution Procedure will not apply to this Part D and any dispute between the CCS and/or the Contracting Authority and/or the Supplier or between their respective actuaries or the Fund Actuary about any of the actuarial matters referred to in this Part D and its Annexes shall in the absence of agreement between the CCS and/or the Contracting Authority and/or the Supplier be referred to an independent Actuary: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4.1.1</w:t>
        <w:tab/>
        <w:t xml:space="preserve">who will act as an expert and not as an arbitrator;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4.1.2</w:t>
        <w:tab/>
        <w:t xml:space="preserve">whose decision will be final and binding on the CCS and/or the Contracting Authority and/or the Supplier; and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4.1.3</w:t>
        <w:tab/>
        <w:t xml:space="preserve">whose expenses shall be borne equally by the CCS and/or the Contracting Authority and/or the Supplier unless the independent Actuary shall otherwise direct.</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tab/>
        <w:t xml:space="preserve">Other people’s rights</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w:t>
        <w:tab/>
        <w:t xml:space="preserve">The Parties agree Clause 17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w:t>
        <w:tab/>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tab/>
        <w:t xml:space="preserve">What happens if there is a breach of this Part D</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w:t>
        <w:tab/>
        <w:t xml:space="preserve">The Supplier agrees to notify the Contracting Authority should it breach any obligations it has under this Part D and agrees that the Contracting Authority shall be entitled to terminate its Contract for material Default in the event that the Supplier:</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6.1.1</w:t>
        <w:tab/>
        <w:t xml:space="preserve">commits an irremediable breach of any provision or obligation it has under this Part D; or</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6.1.2</w:t>
        <w:tab/>
        <w:t xml:space="preserve">commits a breach of any provision or obligation it has under this Part D which, where capable of remedy, it fails to remedy within a reasonable time and in any event within 28 days of the date of a notice from the Contracting Authority giving particulars of the breach and requiring the Supplier to remedy it.</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tab/>
        <w:t xml:space="preserve">Transferring New Fair Deal Employees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7.1</w:t>
        <w:tab/>
        <w:t xml:space="preserve">Save on expiry or termination of this Contract, if the employment of any Fair Deal Employee transfers to another employer (by way of a transfer under the Employment Regulations) the Supplier shall procure that any relevant Sub-Contractor shall:</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7.1.1</w:t>
        <w:tab/>
        <w:t xml:space="preserve">consult with and inform those Fair Deal Employees of the pension provisions relating to that transfer; and</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7.1.2</w:t>
        <w:tab/>
        <w:t xml:space="preserve">procure that the employer to which the Fair Deal Employees are transferred (the "New Employer")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tab/>
        <w:t xml:space="preserve">What happens to pensions if this Contract ends</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9.</w:t>
        <w:tab/>
        <w:t xml:space="preserve">Broadly Comparable Pension Schemes</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9.1</w:t>
        <w:tab/>
        <w:t xml:space="preserve">If either:</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9.1.1</w:t>
        <w:tab/>
        <w:t xml:space="preserve">the terms of any of Paragraphs 2.2 of Annex D1: CSPS, 5.2 of Annex D2: NHSPS and or 4 of Annex D3: LGPS apply; and/or</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9.1.2</w:t>
        <w:tab/>
        <w:t xml:space="preserve">the Contracting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Contracting Authority.</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9.2</w:t>
        <w:tab/>
        <w:t xml:space="preserve">Where the Supplier has set up a Broadly Comparable pension scheme or schemes pursuant to the provisions of Paragraph 9.1, the Supplier shall (and shall procure that any of its Sub-contractors shall):</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9.2.1</w:t>
        <w:tab/>
        <w:t xml:space="preserve">supply to the Contracting Authority details of its (or its Sub-contractor’s) Broadly Comparable pension scheme and provide a full copy of the valid certificate of broad comparability covering all relevant Fair Deal Employees, as soon as it is able to do so and in any event no later than twenty-eight ( 28) days before the Relevant Transfer Date;</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9.2.2</w:t>
        <w:tab/>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9.2.3</w:t>
        <w:tab/>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Contracting Authority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nusc19" w:id="85"/>
      <w:bookmarkEnd w:id="8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9.2.4</w:t>
        <w:tab/>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302m92" w:id="86"/>
      <w:bookmarkEnd w:id="8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9.2.5</w:t>
        <w:tab/>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("Shortfall"),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mzq4wv" w:id="87"/>
      <w:bookmarkEnd w:id="8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9.2.6</w:t>
        <w:tab/>
        <w:t xml:space="preserve">indemnify CCS and/or the Contracting Authority and/or NHS Pension and/or CSPS and/or the relevant Administering Authority and/or on demand for any failure to pay the Shortfall as required under Paragraph9.2.5 above.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250f4o" w:id="88"/>
      <w:bookmarkEnd w:id="8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D1: Civil Service Pensions Schemes (CSPS)</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haapch" w:id="89"/>
      <w:bookmarkEnd w:id="8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10.</w:t>
        <w:tab/>
        <w:t xml:space="preserve">Access to equivalent pension schemes after transfer</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19y80a" w:id="90"/>
      <w:bookmarkEnd w:id="9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10.1</w:t>
        <w:tab/>
        <w:t xml:space="preserve">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gf8i83" w:id="91"/>
      <w:bookmarkEnd w:id="9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10.2</w:t>
        <w:tab/>
        <w:t xml:space="preserve">The Supplier undertakes that should it cease to participate in the CSPS for whatever reason at a time when it has CSPS Eligible Employees, that it will, at no extra cost to the Contracting Authority,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0ew0vw" w:id="92"/>
      <w:bookmarkEnd w:id="9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D2: NHS Pension Schemes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fk6b3p" w:id="93"/>
      <w:bookmarkEnd w:id="9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tab/>
        <w:t xml:space="preserve">Membership of the NHS Pension Scheme</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upglbi" w:id="94"/>
      <w:bookmarkEnd w:id="9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w:t>
        <w:tab/>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ep43zb" w:id="95"/>
      <w:bookmarkEnd w:id="9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w:t>
        <w:tab/>
        <w:t xml:space="preserve">The Supplier must supply to the Contracting Authority by or as soon as reasonably practicable after the Relevant Transfer Date a complete copy of each Direction Letter.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uee74" w:id="96"/>
      <w:bookmarkEnd w:id="9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11.3</w:t>
        <w:tab/>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u1wux" w:id="97"/>
      <w:bookmarkEnd w:id="9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11.4</w:t>
        <w:tab/>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zc72q" w:id="98"/>
      <w:bookmarkEnd w:id="9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11.5</w:t>
        <w:tab/>
        <w:t xml:space="preserve">Where any employee omitted from the Direction Letter supplied in accordance with Paragraph 11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84mhaj" w:id="99"/>
      <w:bookmarkEnd w:id="9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11.6</w:t>
        <w:tab/>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s49zyc" w:id="100"/>
      <w:bookmarkEnd w:id="10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w:t>
        <w:tab/>
        <w:t xml:space="preserve">Access to NHS Pension Schemes after transfer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79ka65" w:id="101"/>
      <w:bookmarkEnd w:id="10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meukdy" w:id="102"/>
      <w:bookmarkEnd w:id="10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w:t>
        <w:tab/>
        <w:t xml:space="preserve">Continuation of early retirement rights after transfer</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6ei31r" w:id="103"/>
      <w:bookmarkEnd w:id="10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Transfer Date, the Supplier must provide (and/or must ensure that its Sub-contractors (if any) provide) NHS Premature Retirement Rights in respect of the NHSPS Eligible Employees that are identical to the benefits they would have received had they remained employees of the Contracting Authority, an NHS Body or other employer which participates automatically in the NHSPS.</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ljsd9k" w:id="104"/>
      <w:bookmarkEnd w:id="10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14.</w:t>
        <w:tab/>
        <w:t xml:space="preserve">What the Contracting Authority do if the Supplier breaches its pension obligations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5jfvxd" w:id="105"/>
      <w:bookmarkEnd w:id="10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The Supplier agrees that the Contracting Authority is entitled to make arrangements with NHS Pensions for the Contracting Authority to be notified if the Supplier (or its Sub-contractor) breaches the terms of its Direction Letter. Notwithstanding the provisions of the foregoing, the Supplier shall notify the Contracting Authority in the event that it (or its Sub-contractor) breaches the terms of its Direction Letter.</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koq656" w:id="106"/>
      <w:bookmarkEnd w:id="10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If the Contracting Authority is entitled to terminate the Contract or the Supplier (or its Sub-contractor, if relevant) ceases to participate in the NHSPS for whatever other reason, the Contracting Authority may in its sole discretion, and instead of exercising its right to terminate this Contract where relevant, permit the Supplier (or any such Sub-contractor, as appropriate) to offer Broadly Comparable Pension Benefits, on such terms as decided by the Contracting Authority. The provisions of Paragraph 8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u0gcz" w:id="107"/>
      <w:bookmarkEnd w:id="10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In addition to the Contracting Authority's right to terminate the Contract, if the Contracting Authority is notified by NHS Pensions of any NHS Pension Scheme Arrears, the Contracting Authority will be entitled to deduct all or part of those arrears from any amount due to be paid under this Contract or otherwise.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jtnz0s" w:id="108"/>
      <w:bookmarkEnd w:id="10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15.</w:t>
        <w:tab/>
        <w:t xml:space="preserve">Compensation when pension scheme access can’t be provided</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yy98l" w:id="109"/>
      <w:bookmarkEnd w:id="10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If the Supplier (or its Sub-contractor, if relevant) is unable to provide the NHSPS Eligible Employees with either: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ylrwe" w:id="110"/>
      <w:bookmarkEnd w:id="1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15.1.1</w:t>
        <w:tab/>
        <w:t xml:space="preserve">membership of the NHSPS (having used its best endeavours to secure a Direction Letter); or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y3w247" w:id="111"/>
      <w:bookmarkEnd w:id="1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15.1.2</w:t>
        <w:tab/>
        <w:t xml:space="preserve">access 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he Contracting Authority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Contracting Authority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determining whether the level of compensation offered is reasonable in the circumstances.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d96cc0" w:id="112"/>
      <w:bookmarkEnd w:id="1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This flexibility for the Contracting Authority to allow compensation in place of Pension Benefits is in addition to and not instead of the Contracting Authority’s right to terminate the Contract.</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x8tuzt" w:id="113"/>
      <w:bookmarkEnd w:id="1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16.</w:t>
        <w:tab/>
        <w:t xml:space="preserve">Indemnities that a Supplier must give</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ce457m" w:id="114"/>
      <w:bookmarkEnd w:id="1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16.1</w:t>
        <w:tab/>
        <w:t xml:space="preserve">The Supplier must indemnify and keep indemnified the CCS, the Contracting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rjefff" w:id="115"/>
      <w:bookmarkEnd w:id="1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16.2</w:t>
        <w:tab/>
        <w:t xml:space="preserve">The Supplier must indemnify and keep indemnified the Contracting Authority,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bj1y38" w:id="116"/>
      <w:bookmarkEnd w:id="11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17.</w:t>
        <w:tab/>
        <w:t xml:space="preserve">Sub-Contractors</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qoc8b1" w:id="117"/>
      <w:bookmarkEnd w:id="1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17.1</w:t>
        <w:tab/>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anzqyu" w:id="118"/>
      <w:bookmarkEnd w:id="1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17.1.1</w:t>
        <w:tab/>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Contracting Authority receives a complete copy of each such Sub-contractor direction letter as soon as reasonably practicable; or</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ta16n" w:id="119"/>
      <w:bookmarkEnd w:id="1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17.1.2</w:t>
        <w:tab/>
        <w:t xml:space="preserve">if, in accordance with Paragraph 13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Contracting Authority) provides NHSPS Eligible Employees with access to a scheme with Pension Benefits which are Broadly Comparable to those provided under the NHSPS whereupon the provisions of Paragraph 8 (Bulk Transfer Obligations in relation to any Broadly Comparable Scheme) shall apply.</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ykbeg" w:id="120"/>
      <w:bookmarkEnd w:id="1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17.2</w:t>
        <w:tab/>
        <w:t xml:space="preserve">The Supplier shall procure that each Sub-contractor provides indemnities to the Contracting Authority, NHS Pensions and/or any Replacement Supplier and/or Replacement Sub-contractor that are identical to the indemnities set out in Paragraph 16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oy7u29" w:id="121"/>
      <w:bookmarkEnd w:id="1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D3: Local Government Pension Schemes (LGPS)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43i4a2" w:id="122"/>
      <w:bookmarkEnd w:id="12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18.</w:t>
        <w:tab/>
        <w:t xml:space="preserve">Supplier must become a LGPS admission body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j8sehv" w:id="123"/>
      <w:bookmarkEnd w:id="1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18.1</w:t>
        <w:tab/>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38fx5o" w:id="124"/>
      <w:bookmarkEnd w:id="1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18.2</w:t>
        <w:tab/>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idq7dh" w:id="125"/>
      <w:bookmarkEnd w:id="1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18.3</w:t>
        <w:tab/>
        <w:t xml:space="preserve">The Supplier shall provide any indemnity, bond or guarantee required by an Administering Authority in relation to an LGPS Admission Agreement.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2ddq1a" w:id="126"/>
      <w:bookmarkEnd w:id="1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18.4</w:t>
        <w:tab/>
        <w:t xml:space="preserve">The Supplier shall not automatically enrol or re-enrol for the purposes of the Pensions Act 2008 any LGPS Eligible Employees in any pension scheme other than the LGPS.</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hio093" w:id="127"/>
      <w:bookmarkEnd w:id="1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19.</w:t>
        <w:tab/>
        <w:t xml:space="preserve">Right of set-off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wnyagw" w:id="128"/>
      <w:bookmarkEnd w:id="1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gnlt4p" w:id="129"/>
      <w:bookmarkEnd w:id="12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20.</w:t>
        <w:tab/>
        <w:t xml:space="preserve">Supplier ceases to be an LGPS Admission Body</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sw3ci" w:id="130"/>
      <w:bookmarkEnd w:id="1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fsjm0b" w:id="131"/>
      <w:bookmarkEnd w:id="13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21.</w:t>
        <w:tab/>
        <w:t xml:space="preserve">Discretionary benefits </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xtw84" w:id="132"/>
      <w:bookmarkEnd w:id="1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an LGPS Admission Body, the Supplier shall</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rPr>
          <w:rFonts w:ascii="Arial" w:cs="Arial" w:eastAsia="Arial" w:hAnsi="Arial"/>
          <w:b w:val="1"/>
          <w:sz w:val="24"/>
          <w:szCs w:val="24"/>
        </w:rPr>
      </w:pPr>
      <w:bookmarkStart w:colFirst="0" w:colLast="0" w:name="_heading=h.1a346fx" w:id="133"/>
      <w:bookmarkEnd w:id="133"/>
      <w:hyperlink w:anchor="bookmark=id.thw4kt">
        <w:r w:rsidDel="00000000" w:rsidR="00000000" w:rsidRPr="00000000">
          <w:rPr>
            <w:rFonts w:ascii="Arial" w:cs="Arial" w:eastAsia="Arial" w:hAnsi="Arial"/>
            <w:b w:val="1"/>
            <w:color w:val="0563c1"/>
            <w:sz w:val="24"/>
            <w:szCs w:val="24"/>
            <w:u w:val="single"/>
            <w:rtl w:val="0"/>
          </w:rPr>
          <w:t xml:space="preserve">Annex D4: Other Schemes</w:t>
        </w:r>
      </w:hyperlink>
      <w:r w:rsidDel="00000000" w:rsidR="00000000" w:rsidRPr="00000000">
        <w:rPr>
          <w:rtl w:val="0"/>
        </w:rPr>
      </w:r>
    </w:p>
    <w:p w:rsidR="00000000" w:rsidDel="00000000" w:rsidP="00000000" w:rsidRDefault="00000000" w:rsidRPr="00000000" w14:paraId="00000102">
      <w:pPr>
        <w:rPr>
          <w:rFonts w:ascii="Arial" w:cs="Arial" w:eastAsia="Arial" w:hAnsi="Arial"/>
          <w:sz w:val="24"/>
          <w:szCs w:val="24"/>
        </w:rPr>
      </w:pPr>
      <w:r w:rsidDel="00000000" w:rsidR="00000000" w:rsidRPr="00000000">
        <w:rPr>
          <w:rFonts w:ascii="Arial" w:cs="Arial" w:eastAsia="Arial" w:hAnsi="Arial"/>
          <w:sz w:val="24"/>
          <w:szCs w:val="24"/>
          <w:rtl w:val="0"/>
        </w:rPr>
        <w:t xml:space="preserve">Not Used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u2rp3q" w:id="134"/>
      <w:bookmarkEnd w:id="134"/>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2.4 Part E: Staff Transfer on Exit </w:t>
      </w:r>
    </w:p>
    <w:p w:rsidR="00000000" w:rsidDel="00000000" w:rsidP="00000000" w:rsidRDefault="00000000" w:rsidRPr="00000000" w14:paraId="00000104">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44" w:right="0" w:hanging="744"/>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105">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344" w:right="0" w:hanging="74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981zbj" w:id="135"/>
      <w:bookmarkEnd w:id="1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twenty-eight (28) Working Days of the earliest of:</w:t>
      </w:r>
    </w:p>
    <w:p w:rsidR="00000000" w:rsidDel="00000000" w:rsidP="00000000" w:rsidRDefault="00000000" w:rsidRPr="00000000" w14:paraId="0000010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odc9jc" w:id="136"/>
      <w:bookmarkEnd w:id="1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Contracting Authority of a Service Transfer or intended Service Transfer; </w:t>
      </w:r>
    </w:p>
    <w:p w:rsidR="00000000" w:rsidDel="00000000" w:rsidP="00000000" w:rsidRDefault="00000000" w:rsidRPr="00000000" w14:paraId="0000010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8czs75" w:id="137"/>
      <w:bookmarkEnd w:id="1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0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twelve (12) Months before the end of the Term; and</w:t>
      </w:r>
    </w:p>
    <w:p w:rsidR="00000000" w:rsidDel="00000000" w:rsidP="00000000" w:rsidRDefault="00000000" w:rsidRPr="00000000" w14:paraId="0000010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Contracting Authority at any time (provided that the Contracting Authority shall only be entitled to make one such request in any six (6) Month period), 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Contracting Authority. </w:t>
      </w:r>
    </w:p>
    <w:p w:rsidR="00000000" w:rsidDel="00000000" w:rsidP="00000000" w:rsidRDefault="00000000" w:rsidRPr="00000000" w14:paraId="0000010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nia2ey" w:id="138"/>
      <w:bookmarkEnd w:id="1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twenty-eight (28) Working Days prior to the Service Transfer Date, the Supplier shall provide to the Contracting Authority or at the direction of the Contracting Authority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0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0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Contracting Authority,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0D">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Contracting Authority (acting reasonably):not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 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000000" w:rsidDel="00000000" w:rsidP="00000000" w:rsidRDefault="00000000" w:rsidRPr="00000000" w14:paraId="0000010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the proportion of working time spent on the Services (or the relevant part of the Services) by any of the Supplier Personnel save for fulfilling assignments and projects previously scheduled and agreed;</w:t>
      </w:r>
    </w:p>
    <w:p w:rsidR="00000000" w:rsidDel="00000000" w:rsidP="00000000" w:rsidRDefault="00000000" w:rsidRPr="00000000" w14:paraId="0000010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1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1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1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dissuade or discourage any employees engaged in the provision of the Services from transferring their employment to the Contracting Authority and/or the Replacement Supplier and/or Replacement Sub-contractor;</w:t>
      </w:r>
    </w:p>
    <w:p w:rsidR="00000000" w:rsidDel="00000000" w:rsidP="00000000" w:rsidRDefault="00000000" w:rsidRPr="00000000" w14:paraId="0000011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the Contracting Authority and/or the Replacement Supplier and/or Replacement Sub-contractor reasonable access to Supplier Personnel and/or their consultation representatives to inform them of the intended transfer and consult any measures envisaged by the Contracting Authority, Replacement Supplier and/or Replacement Sub-contractor in respect of persons expected to be Transferring Supplier Employees;</w:t>
      </w:r>
    </w:p>
    <w:p w:rsidR="00000000" w:rsidDel="00000000" w:rsidP="00000000" w:rsidRDefault="00000000" w:rsidRPr="00000000" w14:paraId="0000011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co-operate with the Contracting Authority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1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Contracting Authority or, at the direction of the Contracting Authority,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1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for a period of twelve (12) Months from the Service Transfer Date re-employ or re-engage or entice any employees, suppliers or Sub-contractors whose employment or engagement is transferred to the Contracting Authority and/or the Replacement Supplier (unless otherwise instructed by the Contracting Authority (acting reasonably));</w:t>
      </w:r>
    </w:p>
    <w:p w:rsidR="00000000" w:rsidDel="00000000" w:rsidP="00000000" w:rsidRDefault="00000000" w:rsidRPr="00000000" w14:paraId="0000011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1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1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1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provide to the Contracting Authority such documents and information mentioned in Paragraph 2   of Part D: Pensions which the Contracting Authority may reasonably request in advance of the expiry or termination of this Contract; and</w:t>
      </w:r>
    </w:p>
    <w:p w:rsidR="00000000" w:rsidDel="00000000" w:rsidP="00000000" w:rsidRDefault="00000000" w:rsidRPr="00000000" w14:paraId="0000011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1C">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Effective Date and up to four times during the last twelve (12) Months of the Term, the Contracting Authority may make written requests to the Supplier for information relating to the manner in which the Services are organised.  Within twenty-eight (28) Working Days of receipt of a written request the Supplier shall provide such information as the Contracting Authority may reasonably require which shall include:</w:t>
      </w:r>
    </w:p>
    <w:p w:rsidR="00000000" w:rsidDel="00000000" w:rsidP="00000000" w:rsidRDefault="00000000" w:rsidRPr="00000000" w14:paraId="0000011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11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1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2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21">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cooperation and assistance to the Contracting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five (5 ) Working Days following the Service Transfer Date, the Supplier shall provide to the Contracting Authority or, at the direction of the Contracting Authority,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2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pays slip data;</w:t>
      </w:r>
    </w:p>
    <w:p w:rsidR="00000000" w:rsidDel="00000000" w:rsidP="00000000" w:rsidRDefault="00000000" w:rsidRPr="00000000" w14:paraId="0000012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12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12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12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12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128">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the identity of the supplier of the Services (or part of the Services), howsoever arising, may constitute a Relevant Transfer to which the Employment Regulations will apply.  The Contracting Authority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2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00000" w:rsidDel="00000000" w:rsidP="00000000" w:rsidRDefault="00000000" w:rsidRPr="00000000" w14:paraId="0000012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7hxl2r" w:id="139"/>
      <w:bookmarkEnd w:id="1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Contracting Authority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2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mn7vak" w:id="140"/>
      <w:bookmarkEnd w:id="1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2D">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1si5id" w:id="141"/>
      <w:bookmarkEnd w:id="1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807.000000000000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ls5o66" w:id="142"/>
      <w:bookmarkEnd w:id="1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2.5.1 the Replacement Supplier and/or Replacement Sub-contractor will, within five (5) Working Days of becoming aware of that fact, notify the Contracting Authority and the Supplier in writing;</w:t>
      </w:r>
    </w:p>
    <w:p w:rsidR="00000000" w:rsidDel="00000000" w:rsidP="00000000" w:rsidRDefault="00000000" w:rsidRPr="00000000" w14:paraId="000001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0xfydz" w:id="143"/>
      <w:bookmarkEnd w:id="1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employment to such person, or take such other steps as it considered appropriate to resolve the matter, within ten (10) Working Days of receipt of notice from the Replacement Supplier and/or Replacement Sub-contractor;</w:t>
      </w:r>
    </w:p>
    <w:p w:rsidR="00000000" w:rsidDel="00000000" w:rsidP="00000000" w:rsidRDefault="00000000" w:rsidRPr="00000000" w14:paraId="000001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kx3h1s" w:id="144"/>
      <w:bookmarkEnd w:id="1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2.5.1 no such offer has been made, or such offer has been made but not accepted, the Replacement Supplier and/or Replacement Sub-contractor may within five (5) Working Days give notice to terminate the employment of such person;</w:t>
      </w:r>
    </w:p>
    <w:p w:rsidR="00000000" w:rsidDel="00000000" w:rsidP="00000000" w:rsidRDefault="00000000" w:rsidRPr="00000000" w14:paraId="00000132">
      <w:pPr>
        <w:pStyle w:val="Heading3"/>
        <w:ind w:left="936"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Replacement Supplier's and/or Replacement Sub-contractor's compliance with Paragraphs 0 to 2.5.3 the Supplier will indemnify the Replacement Supplier and/or Replacement Sub-contractor against all Employee Liabilities arising out of the termination of the employment of any of the Supplier's  employees referred to in Paragraph 2.5. </w:t>
      </w:r>
    </w:p>
    <w:p w:rsidR="00000000" w:rsidDel="00000000" w:rsidP="00000000" w:rsidRDefault="00000000" w:rsidRPr="00000000" w14:paraId="0000013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2dr9l" w:id="145"/>
      <w:bookmarkEnd w:id="1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w:t>
      </w:r>
    </w:p>
    <w:p w:rsidR="00000000" w:rsidDel="00000000" w:rsidP="00000000" w:rsidRDefault="00000000" w:rsidRPr="00000000" w14:paraId="000001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7o1he" w:id="146"/>
      <w:bookmarkEnd w:id="1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 any termination of employment occurring later than three ( 3)  Months from the Service Transfer Date.</w:t>
      </w:r>
    </w:p>
    <w:p w:rsidR="00000000" w:rsidDel="00000000" w:rsidP="00000000" w:rsidRDefault="00000000" w:rsidRPr="00000000" w14:paraId="000001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7bk57" w:id="147"/>
      <w:bookmarkEnd w:id="1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provide the Contracting Authority and any Replacement Supplier and/or Replacement Sub-contractor, in writing such information as is necessary to enable the Contracting Authority, the Replacement Supplier and/or Replacement Sub-contractor to carry out their respective duties under regulation 13 of the Employment Regulations. The Contracting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2" w:right="0" w:hanging="63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clud0" w:id="148"/>
      <w:bookmarkEnd w:id="1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2.9, the Contracting Authority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3A">
      <w:pPr>
        <w:rPr/>
      </w:pPr>
      <w:r w:rsidDel="00000000" w:rsidR="00000000" w:rsidRPr="00000000">
        <w:rPr>
          <w:rFonts w:ascii="Arial" w:cs="Arial" w:eastAsia="Arial" w:hAnsi="Arial"/>
          <w:sz w:val="24"/>
          <w:szCs w:val="24"/>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r w:rsidDel="00000000" w:rsidR="00000000" w:rsidRPr="00000000">
        <w:rPr>
          <w:rtl w:val="0"/>
        </w:rPr>
      </w:r>
    </w:p>
    <w:sectPr>
      <w:head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540" w:hanging="540"/>
      </w:pPr>
      <w:rPr/>
    </w:lvl>
    <w:lvl w:ilvl="1">
      <w:start w:val="5"/>
      <w:numFmt w:val="decimal"/>
      <w:lvlText w:val="%1.%2"/>
      <w:lvlJc w:val="left"/>
      <w:pPr>
        <w:ind w:left="398" w:hanging="540"/>
      </w:pPr>
      <w:rPr/>
    </w:lvl>
    <w:lvl w:ilvl="2">
      <w:start w:val="1"/>
      <w:numFmt w:val="decimal"/>
      <w:lvlText w:val="%1.%2.%3"/>
      <w:lvlJc w:val="left"/>
      <w:pPr>
        <w:ind w:left="436" w:hanging="720"/>
      </w:pPr>
      <w:rPr/>
    </w:lvl>
    <w:lvl w:ilvl="3">
      <w:start w:val="1"/>
      <w:numFmt w:val="decimal"/>
      <w:lvlText w:val="%1.%2.%3.%4"/>
      <w:lvlJc w:val="left"/>
      <w:pPr>
        <w:ind w:left="654" w:hanging="1080"/>
      </w:pPr>
      <w:rPr/>
    </w:lvl>
    <w:lvl w:ilvl="4">
      <w:start w:val="1"/>
      <w:numFmt w:val="decimal"/>
      <w:lvlText w:val="%1.%2.%3.%4.%5"/>
      <w:lvlJc w:val="left"/>
      <w:pPr>
        <w:ind w:left="512" w:hanging="1080"/>
      </w:pPr>
      <w:rPr/>
    </w:lvl>
    <w:lvl w:ilvl="5">
      <w:start w:val="1"/>
      <w:numFmt w:val="decimal"/>
      <w:lvlText w:val="%1.%2.%3.%4.%5.%6"/>
      <w:lvlJc w:val="left"/>
      <w:pPr>
        <w:ind w:left="730" w:hanging="1440"/>
      </w:pPr>
      <w:rPr/>
    </w:lvl>
    <w:lvl w:ilvl="6">
      <w:start w:val="1"/>
      <w:numFmt w:val="decimal"/>
      <w:lvlText w:val="%1.%2.%3.%4.%5.%6.%7"/>
      <w:lvlJc w:val="left"/>
      <w:pPr>
        <w:ind w:left="588" w:hanging="1440"/>
      </w:pPr>
      <w:rPr/>
    </w:lvl>
    <w:lvl w:ilvl="7">
      <w:start w:val="1"/>
      <w:numFmt w:val="decimal"/>
      <w:lvlText w:val="%1.%2.%3.%4.%5.%6.%7.%8"/>
      <w:lvlJc w:val="left"/>
      <w:pPr>
        <w:ind w:left="806" w:hanging="1800"/>
      </w:pPr>
      <w:rPr/>
    </w:lvl>
    <w:lvl w:ilvl="8">
      <w:start w:val="1"/>
      <w:numFmt w:val="decimal"/>
      <w:lvlText w:val="%1.%2.%3.%4.%5.%6.%7.%8.%9"/>
      <w:lvlJc w:val="left"/>
      <w:pPr>
        <w:ind w:left="664"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
      <w:lvlJc w:val="left"/>
      <w:pPr>
        <w:ind w:left="360" w:hanging="360"/>
      </w:pPr>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7">
    <w:lvl w:ilvl="0">
      <w:start w:val="1"/>
      <w:numFmt w:val="decimal"/>
      <w:lvlText w:val="%1"/>
      <w:lvlJc w:val="left"/>
      <w:pPr>
        <w:ind w:left="744" w:hanging="744"/>
      </w:pPr>
      <w:rPr/>
    </w:lvl>
    <w:lvl w:ilvl="1">
      <w:start w:val="2"/>
      <w:numFmt w:val="decimal"/>
      <w:lvlText w:val="%1.%2"/>
      <w:lvlJc w:val="left"/>
      <w:pPr>
        <w:ind w:left="1344" w:hanging="744"/>
      </w:pPr>
      <w:rPr/>
    </w:lvl>
    <w:lvl w:ilvl="2">
      <w:start w:val="4"/>
      <w:numFmt w:val="decimal"/>
      <w:lvlText w:val="%1.%2.%3"/>
      <w:lvlJc w:val="left"/>
      <w:pPr>
        <w:ind w:left="1944" w:hanging="744"/>
      </w:pPr>
      <w:rPr/>
    </w:lvl>
    <w:lvl w:ilvl="3">
      <w:start w:val="1"/>
      <w:numFmt w:val="decimal"/>
      <w:lvlText w:val="%1.%2.%3.%4"/>
      <w:lvlJc w:val="left"/>
      <w:pPr>
        <w:ind w:left="2880" w:hanging="1080"/>
      </w:pPr>
      <w:rPr/>
    </w:lvl>
    <w:lvl w:ilvl="4">
      <w:start w:val="1"/>
      <w:numFmt w:val="decimal"/>
      <w:lvlText w:val="%1.%2.%3.%4.%5"/>
      <w:lvlJc w:val="left"/>
      <w:pPr>
        <w:ind w:left="3480" w:hanging="1080"/>
      </w:pPr>
      <w:rPr/>
    </w:lvl>
    <w:lvl w:ilvl="5">
      <w:start w:val="1"/>
      <w:numFmt w:val="decimal"/>
      <w:lvlText w:val="%1.%2.%3.%4.%5.%6"/>
      <w:lvlJc w:val="left"/>
      <w:pPr>
        <w:ind w:left="4440" w:hanging="1440"/>
      </w:pPr>
      <w:rPr/>
    </w:lvl>
    <w:lvl w:ilvl="6">
      <w:start w:val="1"/>
      <w:numFmt w:val="decimal"/>
      <w:lvlText w:val="%1.%2.%3.%4.%5.%6.%7"/>
      <w:lvlJc w:val="left"/>
      <w:pPr>
        <w:ind w:left="5040" w:hanging="1440"/>
      </w:pPr>
      <w:rPr/>
    </w:lvl>
    <w:lvl w:ilvl="7">
      <w:start w:val="1"/>
      <w:numFmt w:val="decimal"/>
      <w:lvlText w:val="%1.%2.%3.%4.%5.%6.%7.%8"/>
      <w:lvlJc w:val="left"/>
      <w:pPr>
        <w:ind w:left="6000" w:hanging="1800"/>
      </w:pPr>
      <w:rPr/>
    </w:lvl>
    <w:lvl w:ilvl="8">
      <w:start w:val="1"/>
      <w:numFmt w:val="decimal"/>
      <w:lvlText w:val="%1.%2.%3.%4.%5.%6.%7.%8.%9"/>
      <w:lvlJc w:val="left"/>
      <w:pPr>
        <w:ind w:left="6600" w:hanging="1800"/>
      </w:pPr>
      <w:rPr/>
    </w:lvl>
  </w:abstractNum>
  <w:abstractNum w:abstractNumId="8">
    <w:lvl w:ilvl="0">
      <w:start w:val="1"/>
      <w:numFmt w:val="decimal"/>
      <w:lvlText w:val="%1"/>
      <w:lvlJc w:val="left"/>
      <w:pPr>
        <w:ind w:left="744" w:hanging="744"/>
      </w:pPr>
      <w:rPr/>
    </w:lvl>
    <w:lvl w:ilvl="1">
      <w:start w:val="1"/>
      <w:numFmt w:val="decimal"/>
      <w:lvlText w:val="%1.%2"/>
      <w:lvlJc w:val="left"/>
      <w:pPr>
        <w:ind w:left="1344" w:hanging="744"/>
      </w:pPr>
      <w:rPr/>
    </w:lvl>
    <w:lvl w:ilvl="2">
      <w:start w:val="4"/>
      <w:numFmt w:val="decimal"/>
      <w:lvlText w:val="%1.%2.%3"/>
      <w:lvlJc w:val="left"/>
      <w:pPr>
        <w:ind w:left="1944" w:hanging="744"/>
      </w:pPr>
      <w:rPr/>
    </w:lvl>
    <w:lvl w:ilvl="3">
      <w:start w:val="1"/>
      <w:numFmt w:val="decimal"/>
      <w:lvlText w:val="%1.%2.%3.%4"/>
      <w:lvlJc w:val="left"/>
      <w:pPr>
        <w:ind w:left="2880" w:hanging="1080"/>
      </w:pPr>
      <w:rPr/>
    </w:lvl>
    <w:lvl w:ilvl="4">
      <w:start w:val="1"/>
      <w:numFmt w:val="decimal"/>
      <w:lvlText w:val="%1.%2.%3.%4.%5"/>
      <w:lvlJc w:val="left"/>
      <w:pPr>
        <w:ind w:left="3480" w:hanging="1080"/>
      </w:pPr>
      <w:rPr/>
    </w:lvl>
    <w:lvl w:ilvl="5">
      <w:start w:val="1"/>
      <w:numFmt w:val="decimal"/>
      <w:lvlText w:val="%1.%2.%3.%4.%5.%6"/>
      <w:lvlJc w:val="left"/>
      <w:pPr>
        <w:ind w:left="4440" w:hanging="1440"/>
      </w:pPr>
      <w:rPr/>
    </w:lvl>
    <w:lvl w:ilvl="6">
      <w:start w:val="1"/>
      <w:numFmt w:val="decimal"/>
      <w:lvlText w:val="%1.%2.%3.%4.%5.%6.%7"/>
      <w:lvlJc w:val="left"/>
      <w:pPr>
        <w:ind w:left="5040" w:hanging="1440"/>
      </w:pPr>
      <w:rPr/>
    </w:lvl>
    <w:lvl w:ilvl="7">
      <w:start w:val="1"/>
      <w:numFmt w:val="decimal"/>
      <w:lvlText w:val="%1.%2.%3.%4.%5.%6.%7.%8"/>
      <w:lvlJc w:val="left"/>
      <w:pPr>
        <w:ind w:left="6000" w:hanging="1800"/>
      </w:pPr>
      <w:rPr/>
    </w:lvl>
    <w:lvl w:ilvl="8">
      <w:start w:val="1"/>
      <w:numFmt w:val="decimal"/>
      <w:lvlText w:val="%1.%2.%3.%4.%5.%6.%7.%8.%9"/>
      <w:lvlJc w:val="left"/>
      <w:pPr>
        <w:ind w:left="660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20" w:before="20" w:line="240" w:lineRule="auto"/>
      <w:ind w:left="360" w:hanging="360"/>
    </w:pPr>
    <w:rPr>
      <w:rFonts w:ascii="Calibri" w:cs="Calibri" w:eastAsia="Calibri" w:hAnsi="Calibri"/>
      <w:b w:val="1"/>
      <w:sz w:val="36"/>
      <w:szCs w:val="36"/>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spacing w:after="120" w:before="120" w:line="240" w:lineRule="auto"/>
      <w:ind w:left="1656" w:hanging="720"/>
      <w:jc w:val="both"/>
    </w:pPr>
    <w:rPr>
      <w:rFonts w:ascii="Calibri" w:cs="Calibri" w:eastAsia="Calibri" w:hAnsi="Calibri"/>
    </w:rPr>
  </w:style>
  <w:style w:type="paragraph" w:styleId="Heading4">
    <w:name w:val="heading 4"/>
    <w:basedOn w:val="Normal"/>
    <w:next w:val="Normal"/>
    <w:pPr>
      <w:spacing w:after="120" w:before="120" w:line="240" w:lineRule="auto"/>
      <w:ind w:left="2592" w:hanging="936"/>
      <w:jc w:val="both"/>
    </w:pPr>
    <w:rPr>
      <w:rFonts w:ascii="Calibri" w:cs="Calibri" w:eastAsia="Calibri" w:hAnsi="Calibri"/>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9D2B4B"/>
    <w:rPr>
      <w:rFonts w:asciiTheme="minorHAnsi" w:cstheme="minorBidi" w:hAnsiTheme="minorHAnsi"/>
      <w:kern w:val="0"/>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basedOn w:val="Normal"/>
    <w:next w:val="Normal"/>
    <w:link w:val="Heading1Char"/>
    <w:qFormat w:val="1"/>
    <w:rsid w:val="009D2B4B"/>
    <w:pPr>
      <w:keepNext w:val="1"/>
      <w:keepLines w:val="1"/>
      <w:widowControl w:val="0"/>
      <w:spacing w:after="20" w:before="20" w:line="240" w:lineRule="auto"/>
      <w:ind w:left="360" w:hanging="360"/>
      <w:outlineLvl w:val="0"/>
    </w:pPr>
    <w:rPr>
      <w:rFonts w:ascii="Calibri" w:cs="Calibri" w:eastAsia="Calibri" w:hAnsi="Calibri"/>
      <w:b w:val="1"/>
      <w:sz w:val="36"/>
      <w:szCs w:val="3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val="1"/>
    <w:qFormat w:val="1"/>
    <w:rsid w:val="009D2B4B"/>
    <w:pPr>
      <w:tabs>
        <w:tab w:val="num" w:pos="1800"/>
      </w:tabs>
      <w:overflowPunct w:val="0"/>
      <w:autoSpaceDE w:val="0"/>
      <w:autoSpaceDN w:val="0"/>
      <w:adjustRightInd w:val="0"/>
      <w:spacing w:after="120" w:before="120" w:line="240" w:lineRule="auto"/>
      <w:ind w:left="1656" w:hanging="720"/>
      <w:jc w:val="both"/>
      <w:textAlignment w:val="baseline"/>
      <w:outlineLvl w:val="2"/>
    </w:pPr>
    <w:rPr>
      <w:rFonts w:ascii="Calibri" w:hAnsi="Calibri" w:cstheme="majorBidi" w:eastAsiaTheme="majorEastAsia"/>
      <w:bCs w:val="1"/>
    </w:rPr>
  </w:style>
  <w:style w:type="paragraph" w:styleId="Heading4">
    <w:name w:val="heading 4"/>
    <w:aliases w:val="Sub-Minor,Project table,Propos,Level 2 - a,Bullet 11,Bullet 12,Bullet 13,Bullet 14,Bullet 15,Bullet 16,h4,n,h4 sub sub heading,D Sub-Sub/Plain,Level 2 - (a),GPH Heading 4,Schedules,Second Level Heading HM,Subhead C,H4,dash,4,14,l4,141,Te,(i)"/>
    <w:basedOn w:val="Normal"/>
    <w:next w:val="Normal"/>
    <w:link w:val="Heading4Char"/>
    <w:uiPriority w:val="99"/>
    <w:unhideWhenUsed w:val="1"/>
    <w:qFormat w:val="1"/>
    <w:rsid w:val="009D2B4B"/>
    <w:pPr>
      <w:overflowPunct w:val="0"/>
      <w:autoSpaceDE w:val="0"/>
      <w:autoSpaceDN w:val="0"/>
      <w:adjustRightInd w:val="0"/>
      <w:spacing w:after="120" w:before="120" w:line="240" w:lineRule="auto"/>
      <w:ind w:left="2592" w:hanging="936"/>
      <w:jc w:val="both"/>
      <w:textAlignment w:val="baseline"/>
      <w:outlineLvl w:val="3"/>
    </w:pPr>
    <w:rPr>
      <w:rFonts w:ascii="Calibri" w:hAnsi="Calibri" w:cstheme="majorBidi" w:eastAsiaTheme="majorEastAsia"/>
      <w:bCs w:val="1"/>
      <w:iCs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D2B4B"/>
    <w:rPr>
      <w:rFonts w:ascii="Calibri" w:cs="Calibri" w:eastAsia="Calibri" w:hAnsi="Calibri"/>
      <w:b w:val="1"/>
      <w:kern w:val="0"/>
      <w:sz w:val="36"/>
      <w:szCs w:val="3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uiPriority w:val="9"/>
    <w:rsid w:val="009D2B4B"/>
    <w:rPr>
      <w:rFonts w:ascii="Calibri" w:hAnsi="Calibri" w:cstheme="majorBidi" w:eastAsiaTheme="majorEastAsia"/>
      <w:bCs w:val="1"/>
      <w:kern w:val="0"/>
    </w:rPr>
  </w:style>
  <w:style w:type="character" w:styleId="Heading4Char" w:customStyle="1">
    <w:name w:val="Heading 4 Char"/>
    <w:aliases w:val="Sub-Minor Char,Project table Char,Propos Char,Level 2 - a Char,Bullet 11 Char,Bullet 12 Char,Bullet 13 Char,Bullet 14 Char,Bullet 15 Char,Bullet 16 Char,h4 Char,n Char,h4 sub sub heading Char,D Sub-Sub/Plain Char,Level 2 - (a) Char,4 Char"/>
    <w:basedOn w:val="DefaultParagraphFont"/>
    <w:link w:val="Heading4"/>
    <w:uiPriority w:val="99"/>
    <w:rsid w:val="009D2B4B"/>
    <w:rPr>
      <w:rFonts w:ascii="Calibri" w:hAnsi="Calibri" w:cstheme="majorBidi" w:eastAsiaTheme="majorEastAsia"/>
      <w:bCs w:val="1"/>
      <w:iCs w:val="1"/>
      <w:kern w:val="0"/>
    </w:rPr>
  </w:style>
  <w:style w:type="character" w:styleId="Emphasis">
    <w:name w:val="Emphasis"/>
    <w:basedOn w:val="DefaultParagraphFont"/>
    <w:qFormat w:val="1"/>
    <w:rsid w:val="009D2B4B"/>
    <w:rPr>
      <w:i w:val="1"/>
      <w:iCs w:val="1"/>
    </w:rPr>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9D2B4B"/>
    <w:pPr>
      <w:spacing w:after="200" w:line="276" w:lineRule="auto"/>
      <w:ind w:left="720"/>
      <w:contextualSpacing w:val="1"/>
    </w:pPr>
    <w:rPr>
      <w:rFonts w:ascii="Calibri" w:cs="Times New Roman" w:eastAsia="Calibri" w:hAnsi="Calibri"/>
    </w:rPr>
  </w:style>
  <w:style w:type="character" w:styleId="Hyperlink">
    <w:name w:val="Hyperlink"/>
    <w:basedOn w:val="DefaultParagraphFont"/>
    <w:uiPriority w:val="99"/>
    <w:unhideWhenUsed w:val="1"/>
    <w:rsid w:val="009D2B4B"/>
    <w:rPr>
      <w:color w:val="0563c1" w:themeColor="hyperlink"/>
      <w:u w:val="single"/>
    </w:rPr>
  </w:style>
  <w:style w:type="numbering" w:styleId="LFO5" w:customStyle="1">
    <w:name w:val="LFO5"/>
    <w:basedOn w:val="NoList"/>
    <w:rsid w:val="009D2B4B"/>
    <w:pPr>
      <w:numPr>
        <w:numId w:val="1"/>
      </w:numPr>
    </w:pPr>
  </w:style>
  <w:style w:type="paragraph" w:styleId="GPSSchTitleandNumber" w:customStyle="1">
    <w:name w:val="GPS Sch Title and Number"/>
    <w:basedOn w:val="Normal"/>
    <w:link w:val="GPSSchTitleandNumberChar"/>
    <w:qFormat w:val="1"/>
    <w:rsid w:val="009D2B4B"/>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9D2B4B"/>
    <w:rPr>
      <w:rFonts w:ascii="Arial Bold" w:cs="Times New Roman" w:eastAsia="STZhongsong" w:hAnsi="Arial Bold"/>
      <w:b w:val="1"/>
      <w:caps w:val="1"/>
      <w:kern w:val="0"/>
      <w:lang w:eastAsia="zh-CN"/>
    </w:r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9D2B4B"/>
    <w:rPr>
      <w:rFonts w:ascii="Calibri" w:cs="Times New Roman" w:eastAsia="Calibri" w:hAnsi="Calibri"/>
      <w:kern w:val="0"/>
    </w:rPr>
  </w:style>
  <w:style w:type="paragraph" w:styleId="ScheduleL1" w:customStyle="1">
    <w:name w:val="Schedule L1"/>
    <w:basedOn w:val="Normal"/>
    <w:rsid w:val="009D2B4B"/>
    <w:pPr>
      <w:keepNext w:val="1"/>
      <w:numPr>
        <w:numId w:val="3"/>
      </w:numPr>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9D2B4B"/>
    <w:pPr>
      <w:numPr>
        <w:ilvl w:val="1"/>
        <w:numId w:val="3"/>
      </w:numPr>
      <w:tabs>
        <w:tab w:val="left" w:pos="993"/>
      </w:tabs>
      <w:adjustRightInd w:val="0"/>
      <w:spacing w:after="120" w:before="120" w:line="240" w:lineRule="auto"/>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9D2B4B"/>
    <w:rPr>
      <w:rFonts w:ascii="Calibri" w:cs="Times New Roman" w:eastAsia="STZhongsong" w:hAnsi="Calibri"/>
      <w:kern w:val="0"/>
      <w:szCs w:val="20"/>
      <w:lang w:eastAsia="zh-CN" w:val="en-US"/>
    </w:rPr>
  </w:style>
  <w:style w:type="paragraph" w:styleId="ScheduleL3" w:customStyle="1">
    <w:name w:val="Schedule L3"/>
    <w:basedOn w:val="Normal"/>
    <w:rsid w:val="009D2B4B"/>
    <w:pPr>
      <w:numPr>
        <w:ilvl w:val="2"/>
        <w:numId w:val="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9D2B4B"/>
    <w:pPr>
      <w:numPr>
        <w:ilvl w:val="3"/>
        <w:numId w:val="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9D2B4B"/>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9D2B4B"/>
    <w:pPr>
      <w:numPr>
        <w:ilvl w:val="5"/>
        <w:numId w:val="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9D2B4B"/>
    <w:pPr>
      <w:numPr>
        <w:ilvl w:val="6"/>
        <w:numId w:val="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9D2B4B"/>
    <w:pPr>
      <w:numPr>
        <w:ilvl w:val="7"/>
        <w:numId w:val="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9D2B4B"/>
    <w:pPr>
      <w:numPr>
        <w:ilvl w:val="8"/>
        <w:numId w:val="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paragraph" w:styleId="Style1" w:customStyle="1">
    <w:name w:val="Style1"/>
    <w:basedOn w:val="Heading1"/>
    <w:link w:val="Style1Char"/>
    <w:qFormat w:val="1"/>
    <w:rsid w:val="009D2B4B"/>
    <w:pPr>
      <w:spacing w:after="0"/>
      <w:ind w:left="0" w:firstLine="0"/>
    </w:pPr>
  </w:style>
  <w:style w:type="character" w:styleId="Style1Char" w:customStyle="1">
    <w:name w:val="Style1 Char"/>
    <w:basedOn w:val="Heading1Char"/>
    <w:link w:val="Style1"/>
    <w:rsid w:val="009D2B4B"/>
    <w:rPr>
      <w:rFonts w:ascii="Calibri" w:cs="Calibri" w:eastAsia="Calibri" w:hAnsi="Calibri"/>
      <w:b w:val="1"/>
      <w:kern w:val="0"/>
      <w:sz w:val="36"/>
      <w:szCs w:val="36"/>
      <w:lang w:eastAsia="en-GB"/>
    </w:rPr>
  </w:style>
  <w:style w:type="paragraph" w:styleId="Style4" w:customStyle="1">
    <w:name w:val="Style4"/>
    <w:basedOn w:val="Normal"/>
    <w:link w:val="Style4Char"/>
    <w:qFormat w:val="1"/>
    <w:rsid w:val="009D2B4B"/>
    <w:pPr>
      <w:tabs>
        <w:tab w:val="left" w:pos="709"/>
        <w:tab w:val="left" w:pos="1134"/>
      </w:tabs>
      <w:autoSpaceDN w:val="0"/>
      <w:spacing w:after="120" w:before="120" w:line="240" w:lineRule="auto"/>
    </w:pPr>
    <w:rPr>
      <w:rFonts w:ascii="Arial" w:cs="Arial" w:eastAsia="Times New Roman" w:hAnsi="Arial"/>
      <w:b w:val="1"/>
      <w:sz w:val="24"/>
      <w:szCs w:val="20"/>
      <w:lang w:eastAsia="zh-CN"/>
    </w:rPr>
  </w:style>
  <w:style w:type="character" w:styleId="Style4Char" w:customStyle="1">
    <w:name w:val="Style4 Char"/>
    <w:basedOn w:val="DefaultParagraphFont"/>
    <w:link w:val="Style4"/>
    <w:rsid w:val="009D2B4B"/>
    <w:rPr>
      <w:rFonts w:eastAsia="Times New Roman"/>
      <w:b w:val="1"/>
      <w:kern w:val="0"/>
      <w:sz w:val="24"/>
      <w:szCs w:val="20"/>
      <w:lang w:eastAsia="zh-CN"/>
    </w:rPr>
  </w:style>
  <w:style w:type="character" w:styleId="CommentReference">
    <w:name w:val="annotation reference"/>
    <w:basedOn w:val="DefaultParagraphFont"/>
    <w:uiPriority w:val="99"/>
    <w:semiHidden w:val="1"/>
    <w:unhideWhenUsed w:val="1"/>
    <w:rsid w:val="006A5CB0"/>
    <w:rPr>
      <w:sz w:val="16"/>
      <w:szCs w:val="16"/>
    </w:rPr>
  </w:style>
  <w:style w:type="paragraph" w:styleId="CommentText">
    <w:name w:val="annotation text"/>
    <w:basedOn w:val="Normal"/>
    <w:link w:val="CommentTextChar"/>
    <w:uiPriority w:val="99"/>
    <w:unhideWhenUsed w:val="1"/>
    <w:rsid w:val="006A5CB0"/>
    <w:pPr>
      <w:spacing w:line="240" w:lineRule="auto"/>
    </w:pPr>
    <w:rPr>
      <w:sz w:val="20"/>
      <w:szCs w:val="20"/>
    </w:rPr>
  </w:style>
  <w:style w:type="character" w:styleId="CommentTextChar" w:customStyle="1">
    <w:name w:val="Comment Text Char"/>
    <w:basedOn w:val="DefaultParagraphFont"/>
    <w:link w:val="CommentText"/>
    <w:uiPriority w:val="99"/>
    <w:rsid w:val="006A5CB0"/>
    <w:rPr>
      <w:rFonts w:asciiTheme="minorHAnsi" w:cstheme="minorBidi" w:hAnsiTheme="minorHAnsi"/>
      <w:kern w:val="0"/>
      <w:sz w:val="20"/>
      <w:szCs w:val="20"/>
    </w:rPr>
  </w:style>
  <w:style w:type="paragraph" w:styleId="CommentSubject">
    <w:name w:val="annotation subject"/>
    <w:basedOn w:val="CommentText"/>
    <w:next w:val="CommentText"/>
    <w:link w:val="CommentSubjectChar"/>
    <w:uiPriority w:val="99"/>
    <w:semiHidden w:val="1"/>
    <w:unhideWhenUsed w:val="1"/>
    <w:rsid w:val="006A5CB0"/>
    <w:rPr>
      <w:b w:val="1"/>
      <w:bCs w:val="1"/>
    </w:rPr>
  </w:style>
  <w:style w:type="character" w:styleId="CommentSubjectChar" w:customStyle="1">
    <w:name w:val="Comment Subject Char"/>
    <w:basedOn w:val="CommentTextChar"/>
    <w:link w:val="CommentSubject"/>
    <w:uiPriority w:val="99"/>
    <w:semiHidden w:val="1"/>
    <w:rsid w:val="006A5CB0"/>
    <w:rPr>
      <w:rFonts w:asciiTheme="minorHAnsi" w:cstheme="minorBidi" w:hAnsiTheme="minorHAnsi"/>
      <w:b w:val="1"/>
      <w:bCs w:val="1"/>
      <w:kern w:val="0"/>
      <w:sz w:val="20"/>
      <w:szCs w:val="20"/>
    </w:rPr>
  </w:style>
  <w:style w:type="paragraph" w:styleId="Revision">
    <w:name w:val="Revision"/>
    <w:hidden w:val="1"/>
    <w:uiPriority w:val="99"/>
    <w:semiHidden w:val="1"/>
    <w:rsid w:val="003A275C"/>
    <w:pPr>
      <w:spacing w:after="0" w:line="240" w:lineRule="auto"/>
    </w:pPr>
    <w:rPr>
      <w:rFonts w:asciiTheme="minorHAnsi" w:cstheme="minorBidi" w:hAnsiTheme="minorHAnsi"/>
      <w:kern w:val="0"/>
    </w:rPr>
  </w:style>
  <w:style w:type="paragraph" w:styleId="Header">
    <w:name w:val="header"/>
    <w:basedOn w:val="Normal"/>
    <w:link w:val="HeaderChar"/>
    <w:uiPriority w:val="99"/>
    <w:unhideWhenUsed w:val="1"/>
    <w:rsid w:val="003F0E88"/>
    <w:pPr>
      <w:tabs>
        <w:tab w:val="center" w:pos="4513"/>
        <w:tab w:val="right" w:pos="9026"/>
      </w:tabs>
      <w:spacing w:after="0" w:line="240" w:lineRule="auto"/>
    </w:pPr>
  </w:style>
  <w:style w:type="character" w:styleId="HeaderChar" w:customStyle="1">
    <w:name w:val="Header Char"/>
    <w:basedOn w:val="DefaultParagraphFont"/>
    <w:link w:val="Header"/>
    <w:uiPriority w:val="99"/>
    <w:rsid w:val="003F0E88"/>
    <w:rPr>
      <w:rFonts w:asciiTheme="minorHAnsi" w:cstheme="minorBidi" w:hAnsiTheme="minorHAnsi"/>
      <w:kern w:val="0"/>
    </w:rPr>
  </w:style>
  <w:style w:type="paragraph" w:styleId="Footer">
    <w:name w:val="footer"/>
    <w:basedOn w:val="Normal"/>
    <w:link w:val="FooterChar"/>
    <w:uiPriority w:val="99"/>
    <w:unhideWhenUsed w:val="1"/>
    <w:rsid w:val="003F0E88"/>
    <w:pPr>
      <w:tabs>
        <w:tab w:val="center" w:pos="4513"/>
        <w:tab w:val="right" w:pos="9026"/>
      </w:tabs>
      <w:spacing w:after="0" w:line="240" w:lineRule="auto"/>
    </w:pPr>
  </w:style>
  <w:style w:type="character" w:styleId="FooterChar" w:customStyle="1">
    <w:name w:val="Footer Char"/>
    <w:basedOn w:val="DefaultParagraphFont"/>
    <w:link w:val="Footer"/>
    <w:uiPriority w:val="99"/>
    <w:rsid w:val="003F0E88"/>
    <w:rPr>
      <w:rFonts w:asciiTheme="minorHAnsi" w:cstheme="minorBidi" w:hAnsiTheme="minorHAnsi"/>
      <w:kern w:val="0"/>
    </w:rPr>
  </w:style>
  <w:style w:type="character" w:styleId="normaltextrun" w:customStyle="1">
    <w:name w:val="normaltextrun"/>
    <w:basedOn w:val="DefaultParagraphFont"/>
    <w:rsid w:val="003F0E8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CyzUdi2zS27zZ2QdV1vcAu2bS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2024-12-05T11:02:00Z</dcterms:created>
  <dc:creator>Edwards, Kelvin C1 (UKStratCom-Comrcl C1-05)</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2024-05-15T09:03:16Z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89213f6a-ca31-49f8-8c36-4cc9f23c4a77</vt:lpwstr>
  </property>
  <property fmtid="{D5CDD505-2E9C-101B-9397-08002B2CF9AE}" pid="8" name="MSIP_Label_d8a60473-494b-4586-a1bb-b0e663054676_ContentBits">
    <vt:lpwstr>0</vt:lpwstr>
  </property>
  <property fmtid="{D5CDD505-2E9C-101B-9397-08002B2CF9AE}" pid="9" name="ContentTypeId">
    <vt:lpwstr>0x0101009CEFB75345CA724198A07DE6383DACB7</vt:lpwstr>
  </property>
  <property fmtid="{D5CDD505-2E9C-101B-9397-08002B2CF9AE}" pid="10" name="MediaServiceImageTags">
    <vt:lpwstr/>
  </property>
</Properties>
</file>